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4BDA5" w14:textId="77777777" w:rsidR="004A40F2" w:rsidRDefault="004A40F2" w:rsidP="00733F19">
      <w:pPr>
        <w:keepNext/>
        <w:tabs>
          <w:tab w:val="num" w:pos="0"/>
        </w:tabs>
        <w:suppressAutoHyphens/>
        <w:spacing w:before="126"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1"/>
          <w:sz w:val="32"/>
          <w:szCs w:val="32"/>
          <w:lang w:eastAsia="zh-CN"/>
        </w:rPr>
      </w:pPr>
      <w:r>
        <w:rPr>
          <w:rFonts w:ascii="Arial" w:eastAsia="Times New Roman" w:hAnsi="Arial" w:cs="Arial"/>
          <w:b/>
          <w:bCs/>
          <w:noProof/>
          <w:color w:val="000000"/>
          <w:kern w:val="1"/>
          <w:sz w:val="32"/>
          <w:szCs w:val="32"/>
          <w:lang w:eastAsia="pl-PL"/>
        </w:rPr>
        <w:drawing>
          <wp:anchor distT="0" distB="0" distL="114300" distR="114300" simplePos="0" relativeHeight="251661312" behindDoc="0" locked="0" layoutInCell="1" allowOverlap="1" wp14:anchorId="5AB7D8BE" wp14:editId="5A02EA08">
            <wp:simplePos x="0" y="0"/>
            <wp:positionH relativeFrom="column">
              <wp:posOffset>2079625</wp:posOffset>
            </wp:positionH>
            <wp:positionV relativeFrom="paragraph">
              <wp:posOffset>85725</wp:posOffset>
            </wp:positionV>
            <wp:extent cx="771525" cy="733425"/>
            <wp:effectExtent l="0" t="0" r="9525" b="9525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1"/>
          <w:sz w:val="32"/>
          <w:szCs w:val="32"/>
          <w:lang w:eastAsia="pl-PL"/>
        </w:rPr>
        <w:drawing>
          <wp:anchor distT="0" distB="0" distL="114300" distR="114300" simplePos="0" relativeHeight="251660288" behindDoc="0" locked="0" layoutInCell="1" allowOverlap="1" wp14:anchorId="3CD91C28" wp14:editId="701A0FE8">
            <wp:simplePos x="0" y="0"/>
            <wp:positionH relativeFrom="margin">
              <wp:align>center</wp:align>
            </wp:positionH>
            <wp:positionV relativeFrom="paragraph">
              <wp:posOffset>87630</wp:posOffset>
            </wp:positionV>
            <wp:extent cx="1838325" cy="685800"/>
            <wp:effectExtent l="0" t="0" r="9525" b="0"/>
            <wp:wrapSquare wrapText="bothSides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1"/>
          <w:sz w:val="32"/>
          <w:szCs w:val="32"/>
          <w:lang w:eastAsia="pl-PL"/>
        </w:rPr>
        <w:drawing>
          <wp:anchor distT="0" distB="0" distL="114300" distR="114300" simplePos="0" relativeHeight="251659264" behindDoc="0" locked="0" layoutInCell="1" allowOverlap="1" wp14:anchorId="32E12E45" wp14:editId="03B8D1A1">
            <wp:simplePos x="0" y="0"/>
            <wp:positionH relativeFrom="column">
              <wp:posOffset>6141085</wp:posOffset>
            </wp:positionH>
            <wp:positionV relativeFrom="paragraph">
              <wp:posOffset>57150</wp:posOffset>
            </wp:positionV>
            <wp:extent cx="857250" cy="7715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1"/>
          <w:sz w:val="32"/>
          <w:szCs w:val="32"/>
          <w:lang w:eastAsia="pl-PL"/>
        </w:rPr>
        <w:drawing>
          <wp:anchor distT="0" distB="0" distL="114300" distR="114300" simplePos="0" relativeHeight="251658240" behindDoc="0" locked="0" layoutInCell="1" allowOverlap="1" wp14:anchorId="644EC8AE" wp14:editId="3D75A815">
            <wp:simplePos x="0" y="0"/>
            <wp:positionH relativeFrom="column">
              <wp:posOffset>7558405</wp:posOffset>
            </wp:positionH>
            <wp:positionV relativeFrom="paragraph">
              <wp:posOffset>0</wp:posOffset>
            </wp:positionV>
            <wp:extent cx="1352550" cy="8763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noProof/>
          <w:color w:val="000000"/>
          <w:kern w:val="1"/>
          <w:sz w:val="32"/>
          <w:szCs w:val="32"/>
          <w:lang w:eastAsia="pl-PL"/>
        </w:rPr>
        <w:drawing>
          <wp:inline distT="0" distB="0" distL="0" distR="0" wp14:anchorId="65BE048B" wp14:editId="45C13D4F">
            <wp:extent cx="1076325" cy="72390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FC452C" w14:textId="77777777" w:rsidR="004A40F2" w:rsidRDefault="004A40F2" w:rsidP="00733F19">
      <w:pPr>
        <w:keepNext/>
        <w:tabs>
          <w:tab w:val="num" w:pos="0"/>
        </w:tabs>
        <w:suppressAutoHyphens/>
        <w:spacing w:before="126"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color w:val="000000"/>
          <w:kern w:val="1"/>
          <w:sz w:val="32"/>
          <w:szCs w:val="32"/>
          <w:lang w:eastAsia="zh-CN"/>
        </w:rPr>
      </w:pPr>
    </w:p>
    <w:p w14:paraId="53F687D8" w14:textId="77777777" w:rsidR="00733F19" w:rsidRPr="00733F19" w:rsidRDefault="00733F19" w:rsidP="00733F19">
      <w:pPr>
        <w:keepNext/>
        <w:tabs>
          <w:tab w:val="num" w:pos="0"/>
        </w:tabs>
        <w:suppressAutoHyphens/>
        <w:spacing w:before="126" w:after="0" w:line="240" w:lineRule="auto"/>
        <w:ind w:left="432" w:hanging="432"/>
        <w:jc w:val="center"/>
        <w:outlineLvl w:val="0"/>
        <w:rPr>
          <w:rFonts w:ascii="Arial" w:eastAsia="Times New Roman" w:hAnsi="Arial" w:cs="Arial"/>
          <w:b/>
          <w:bCs/>
          <w:kern w:val="1"/>
          <w:sz w:val="32"/>
          <w:szCs w:val="32"/>
          <w:lang w:eastAsia="zh-CN"/>
        </w:rPr>
      </w:pPr>
      <w:r w:rsidRPr="00733F19">
        <w:rPr>
          <w:rFonts w:ascii="Arial" w:eastAsia="Times New Roman" w:hAnsi="Arial" w:cs="Arial"/>
          <w:b/>
          <w:bCs/>
          <w:color w:val="000000"/>
          <w:kern w:val="1"/>
          <w:sz w:val="32"/>
          <w:szCs w:val="32"/>
          <w:lang w:eastAsia="zh-CN"/>
        </w:rPr>
        <w:t>LSR 2014-2020 Zielony Wierzchołek Śląska</w:t>
      </w:r>
    </w:p>
    <w:p w14:paraId="33C641A9" w14:textId="77777777" w:rsidR="00733F19" w:rsidRDefault="00733F19" w:rsidP="004A40F2">
      <w:pPr>
        <w:keepNext/>
        <w:tabs>
          <w:tab w:val="num" w:pos="0"/>
        </w:tabs>
        <w:suppressAutoHyphens/>
        <w:spacing w:before="126" w:after="0" w:line="240" w:lineRule="auto"/>
        <w:ind w:left="432" w:hanging="432"/>
        <w:outlineLvl w:val="0"/>
        <w:rPr>
          <w:rFonts w:ascii="Times New Roman" w:eastAsia="Arial-BoldMT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733F19">
        <w:rPr>
          <w:rFonts w:ascii="Arial" w:eastAsia="Arial" w:hAnsi="Arial" w:cs="Arial"/>
          <w:b/>
          <w:bCs/>
          <w:color w:val="000000"/>
          <w:kern w:val="1"/>
          <w:sz w:val="32"/>
          <w:szCs w:val="32"/>
          <w:lang w:eastAsia="zh-CN"/>
        </w:rPr>
        <w:t xml:space="preserve">                         </w:t>
      </w:r>
      <w:r w:rsidRPr="00733F19">
        <w:rPr>
          <w:rFonts w:ascii="Arial-BoldMT" w:eastAsia="Arial-BoldMT" w:hAnsi="Arial-BoldMT" w:cs="Arial-BoldMT"/>
          <w:b/>
          <w:bCs/>
          <w:color w:val="000000"/>
          <w:kern w:val="1"/>
          <w:sz w:val="32"/>
          <w:szCs w:val="32"/>
          <w:lang w:eastAsia="zh-CN"/>
        </w:rPr>
        <w:t>Kryteria wyboru projektów (projekty dla przedsiębiorców)</w:t>
      </w:r>
      <w:r>
        <w:rPr>
          <w:rFonts w:ascii="Times New Roman" w:eastAsia="Arial-BoldMT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   </w:t>
      </w:r>
    </w:p>
    <w:p w14:paraId="57D1C237" w14:textId="77777777" w:rsidR="00816B20" w:rsidRPr="004A40F2" w:rsidRDefault="00816B20" w:rsidP="004A40F2">
      <w:pPr>
        <w:keepNext/>
        <w:tabs>
          <w:tab w:val="num" w:pos="0"/>
        </w:tabs>
        <w:suppressAutoHyphens/>
        <w:spacing w:before="126" w:after="0" w:line="240" w:lineRule="auto"/>
        <w:ind w:left="432" w:hanging="432"/>
        <w:outlineLvl w:val="0"/>
        <w:rPr>
          <w:rFonts w:ascii="Arial-BoldMT" w:eastAsia="Arial-BoldMT" w:hAnsi="Arial-BoldMT" w:cs="Arial-BoldMT"/>
          <w:b/>
          <w:bCs/>
          <w:color w:val="000000"/>
          <w:kern w:val="1"/>
          <w:sz w:val="32"/>
          <w:szCs w:val="32"/>
          <w:lang w:eastAsia="zh-CN"/>
        </w:rPr>
      </w:pPr>
      <w:r>
        <w:rPr>
          <w:rFonts w:ascii="Times New Roman" w:eastAsia="Arial-BoldMT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                                                                                               </w:t>
      </w:r>
      <w:r w:rsidRPr="00A32F61">
        <w:rPr>
          <w:rFonts w:ascii="Times New Roman" w:eastAsia="Arial-BoldMT" w:hAnsi="Times New Roman" w:cs="Times New Roman"/>
          <w:b/>
          <w:bCs/>
          <w:color w:val="FF0000"/>
          <w:kern w:val="1"/>
          <w:sz w:val="24"/>
          <w:szCs w:val="24"/>
          <w:lang w:eastAsia="zh-CN"/>
        </w:rPr>
        <w:t>-propozycje zmian-</w:t>
      </w:r>
    </w:p>
    <w:p w14:paraId="25149F4F" w14:textId="77777777" w:rsidR="00733F19" w:rsidRPr="00733F19" w:rsidRDefault="00733F19" w:rsidP="00733F19">
      <w:pPr>
        <w:suppressAutoHyphens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color w:val="000000"/>
          <w:sz w:val="24"/>
          <w:szCs w:val="24"/>
          <w:lang w:eastAsia="zh-CN"/>
        </w:rPr>
      </w:pPr>
    </w:p>
    <w:p w14:paraId="23305FAF" w14:textId="77777777" w:rsidR="00733F19" w:rsidRPr="00733F19" w:rsidRDefault="00733F19" w:rsidP="00733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I.2.1 Rozpoczynanie działalności gospodarczej</w:t>
      </w:r>
    </w:p>
    <w:p w14:paraId="11D38914" w14:textId="77777777" w:rsidR="00733F19" w:rsidRPr="00733F19" w:rsidRDefault="00733F19" w:rsidP="00733F1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I.2.2 Rozwój działalności gospodarczej</w:t>
      </w:r>
    </w:p>
    <w:p w14:paraId="7B3E8932" w14:textId="77777777" w:rsidR="00733F19" w:rsidRPr="00733F19" w:rsidRDefault="00733F19" w:rsidP="00733F1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I.3.1 Rozpoczynanie działalności gospodarczej</w:t>
      </w:r>
    </w:p>
    <w:p w14:paraId="29224790" w14:textId="77777777" w:rsidR="00733F19" w:rsidRPr="00733F19" w:rsidRDefault="00733F19" w:rsidP="00733F1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I.3.2 Rozwój działalności gospodarczej</w:t>
      </w:r>
    </w:p>
    <w:p w14:paraId="232037A8" w14:textId="77777777" w:rsidR="00733F19" w:rsidRPr="00733F19" w:rsidRDefault="00733F19" w:rsidP="00733F1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  <w:t>I.4.1 Inkubator przetwórstwa lokalnego</w:t>
      </w:r>
    </w:p>
    <w:p w14:paraId="2603E16E" w14:textId="77777777" w:rsidR="00733F19" w:rsidRDefault="00733F19" w:rsidP="00733F1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tbl>
      <w:tblPr>
        <w:tblW w:w="16075" w:type="dxa"/>
        <w:tblInd w:w="-996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5"/>
        <w:gridCol w:w="1572"/>
        <w:gridCol w:w="5387"/>
        <w:gridCol w:w="5047"/>
        <w:gridCol w:w="1757"/>
        <w:gridCol w:w="1757"/>
      </w:tblGrid>
      <w:tr w:rsidR="00895E44" w:rsidRPr="00733F19" w14:paraId="700C49F6" w14:textId="23A360DC" w:rsidTr="00895E44">
        <w:trPr>
          <w:trHeight w:val="165"/>
          <w:tblHeader/>
        </w:trPr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CCFFCC"/>
            <w:vAlign w:val="center"/>
          </w:tcPr>
          <w:p w14:paraId="7DEBF1AE" w14:textId="77777777" w:rsidR="00895E44" w:rsidRPr="00733F19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CCFFCC"/>
            <w:vAlign w:val="center"/>
          </w:tcPr>
          <w:p w14:paraId="5FA38D4E" w14:textId="77777777" w:rsidR="00895E44" w:rsidRPr="00733F19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Kryterium lokalne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CCFFCC"/>
            <w:vAlign w:val="center"/>
          </w:tcPr>
          <w:p w14:paraId="2070D529" w14:textId="77777777" w:rsidR="00895E44" w:rsidRPr="00733F19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Opis / potencjalne oddziaływanie</w:t>
            </w: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FFCC"/>
            <w:vAlign w:val="center"/>
          </w:tcPr>
          <w:p w14:paraId="23AE47FC" w14:textId="77777777" w:rsidR="00895E44" w:rsidRPr="00733F19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Punkty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FFCC"/>
          </w:tcPr>
          <w:p w14:paraId="7EEF51C4" w14:textId="41849762" w:rsidR="00895E44" w:rsidRPr="003C2FD4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 w:rsidRPr="003C2F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Źródło weryfikacji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CCFFCC"/>
          </w:tcPr>
          <w:p w14:paraId="4DC7B090" w14:textId="327799D9" w:rsidR="00895E44" w:rsidRPr="003C2FD4" w:rsidRDefault="00895E44" w:rsidP="009E1538">
            <w:pPr>
              <w:suppressAutoHyphens/>
              <w:spacing w:after="119" w:line="16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zh-CN"/>
              </w:rPr>
              <w:t>UZASADNIENIE ZMIAN</w:t>
            </w:r>
          </w:p>
        </w:tc>
      </w:tr>
      <w:tr w:rsidR="00895E44" w:rsidRPr="00C62408" w14:paraId="24648247" w14:textId="00CD5996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227E6425" w14:textId="77777777" w:rsidR="00895E44" w:rsidRPr="00733F19" w:rsidRDefault="00895E44" w:rsidP="009E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5D4A9FE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Innowacyjność projektu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</w:tcPr>
          <w:p w14:paraId="799D30A4" w14:textId="5DF3B22A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NewRomanPSMT" w:hAnsi="Times New Roman" w:cs="Times New Roman"/>
                <w:color w:val="000000"/>
                <w:sz w:val="20"/>
                <w:szCs w:val="20"/>
                <w:lang w:eastAsia="zh-CN"/>
              </w:rPr>
              <w:t>Preferowane są operacje o charakterze innowacyjnym. Innowacja rozumiana jest jako zrealizowanie inwestycji wnoszącej n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ową jakość lub wykorzystującą innowacyjne rozwiązania i/lub nowatorskie wykorzystanie lub zmobilizowanie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istniejących lokalnych zasobów 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p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rzyrodniczych,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historycznych, kulturowych czy społecznych </w:t>
            </w:r>
          </w:p>
          <w:p w14:paraId="235935E4" w14:textId="6BC24490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a w odniesieniu do przedsięwzięć: rozpoczynanie i rozwój działalności „Preferowane są operacje o charakterze innowacyjnym. Innowacja rozumiana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jest jako:</w:t>
            </w:r>
          </w:p>
          <w:p w14:paraId="30753C28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- dostarczenie usługi lub produktu</w:t>
            </w:r>
          </w:p>
          <w:p w14:paraId="1C918A39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- i/lub zrealizowanie inwestycji</w:t>
            </w:r>
          </w:p>
          <w:p w14:paraId="726B629F" w14:textId="5789F991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- i/lub nowatorskie wykorzystanie lokalnych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zasobów</w:t>
            </w:r>
          </w:p>
          <w:p w14:paraId="26781D8E" w14:textId="7B21D878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- i/lub wykorzystanie technologii w procesie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produkcji/świadczenia usługi</w:t>
            </w:r>
          </w:p>
          <w:p w14:paraId="69128E79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- i/lub rozwój nowych rynków zbytu</w:t>
            </w:r>
          </w:p>
          <w:p w14:paraId="07F0B983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lastRenderedPageBreak/>
              <w:t>- dotychczas nie znanych / nie stosowanych na</w:t>
            </w:r>
          </w:p>
          <w:p w14:paraId="16F5FFDC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obszarze LSR</w:t>
            </w:r>
          </w:p>
          <w:p w14:paraId="39098C3D" w14:textId="6A2D7E1B" w:rsidR="00895E44" w:rsidRPr="008F1C68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3E55DC19" w14:textId="77777777" w:rsidR="00895E44" w:rsidRPr="00816B20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lastRenderedPageBreak/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Projekt innowacyjny na terenie LGD – 1 pkt.</w:t>
            </w:r>
          </w:p>
          <w:p w14:paraId="7EE9800C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Brak innowacyjności – 0 pkt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.</w:t>
            </w:r>
          </w:p>
          <w:p w14:paraId="5EE24BD0" w14:textId="2A7D2622" w:rsidR="00895E44" w:rsidRPr="006A3C59" w:rsidRDefault="00895E44" w:rsidP="00816B20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Projekt innowacyjny na terenie LGD „Zielony Wierzchołek Śląska) –</w:t>
            </w:r>
            <w:r>
              <w:rPr>
                <w:rFonts w:ascii="TimesNewRomanPSMT" w:eastAsia="TimesNewRomanPSMT" w:hAnsi="TimesNewRomanPSMT" w:cs="TimesNewRomanPSMT"/>
                <w:strike/>
                <w:color w:val="FF0000"/>
                <w:sz w:val="20"/>
                <w:szCs w:val="20"/>
                <w:lang w:eastAsia="zh-CN"/>
              </w:rPr>
              <w:t xml:space="preserve"> 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3 pkt</w:t>
            </w:r>
          </w:p>
          <w:p w14:paraId="2A83435B" w14:textId="1E2CB4E1" w:rsidR="00895E44" w:rsidRPr="006A3C59" w:rsidRDefault="00895E44" w:rsidP="00816B20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Projekt jest innowacyjny w skali 1 gminy, w której jest realizowany –2 pkt</w:t>
            </w:r>
          </w:p>
          <w:p w14:paraId="27FD82FE" w14:textId="27470503" w:rsidR="00895E44" w:rsidRPr="006A3C59" w:rsidRDefault="00895E44" w:rsidP="002D06D3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- Projekt jest innowacyjny na terenie miejscowości  - 1 pkt</w:t>
            </w:r>
          </w:p>
          <w:p w14:paraId="6DDEF4B9" w14:textId="77777777" w:rsidR="00895E44" w:rsidRPr="006A3C59" w:rsidRDefault="00895E44" w:rsidP="00816B20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Brak innowacyjności – 0 pkt.</w:t>
            </w:r>
          </w:p>
          <w:p w14:paraId="6E24FBC0" w14:textId="77777777" w:rsidR="00895E44" w:rsidRPr="006A3C59" w:rsidRDefault="00895E44" w:rsidP="00816B20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36145315" w14:textId="77777777" w:rsidR="00895E44" w:rsidRPr="006A3C59" w:rsidRDefault="00895E44" w:rsidP="00816B20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08BBB6E7" w14:textId="6E4BBC47" w:rsidR="00895E44" w:rsidRPr="008250DD" w:rsidRDefault="00895E44" w:rsidP="00816B20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się.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0D036FE0" w14:textId="6E5B60AB" w:rsidR="00895E44" w:rsidRPr="00C62408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 xml:space="preserve">Wnioskodawca uzasadnia innowacyjność we wniosku o przyznanie pomocy oraz w pozostałej dokumentacji konkursowej. 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60F277BA" w14:textId="62280F55" w:rsidR="00895E44" w:rsidRPr="006A3C59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Symbol"/>
                <w:color w:val="FF0000"/>
                <w:sz w:val="20"/>
                <w:szCs w:val="20"/>
                <w:lang w:eastAsia="zh-CN"/>
              </w:rPr>
              <w:t xml:space="preserve">Zamiana w sposobie punktacji dotyczącej innowacyjności projektu pozwoli beneficjentowi na konkretne odniesienie się co do zakresu występowania innowacji. Wprowadzenie stopniowania oceny poszerza </w:t>
            </w:r>
            <w:r>
              <w:rPr>
                <w:rFonts w:eastAsia="Symbol"/>
                <w:color w:val="FF0000"/>
                <w:sz w:val="20"/>
                <w:szCs w:val="20"/>
                <w:lang w:eastAsia="zh-CN"/>
              </w:rPr>
              <w:lastRenderedPageBreak/>
              <w:t xml:space="preserve">możliwość pozytywnej oceny kryterium przez Radę.  </w:t>
            </w:r>
          </w:p>
        </w:tc>
      </w:tr>
      <w:tr w:rsidR="00895E44" w:rsidRPr="00C62408" w14:paraId="1245DF25" w14:textId="50E8092A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3EE6A6C6" w14:textId="77777777" w:rsidR="00895E44" w:rsidRPr="00733F19" w:rsidRDefault="00895E44" w:rsidP="009E1538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3198D09F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Przynależność do LGD i aktywność wnioskodawcy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4E8843AB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Preferuje się wnioskodawców, którzy są członkami LGD i są aktywni (uczestniczą w spotkaniach, szkoleniach, warsztatach i korzystają z doradztwa w LGD)</w:t>
            </w:r>
          </w:p>
          <w:p w14:paraId="5C98E424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</w:p>
          <w:p w14:paraId="70751DEE" w14:textId="77777777" w:rsidR="00895E44" w:rsidRPr="008F1C68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strike/>
                <w:color w:val="000000" w:themeColor="text1"/>
                <w:sz w:val="20"/>
                <w:szCs w:val="20"/>
                <w:lang w:eastAsia="zh-CN"/>
              </w:rPr>
              <w:t>Punkty się sumują</w:t>
            </w: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580A2008" w14:textId="714604AE" w:rsidR="00895E44" w:rsidRPr="006A3C59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Przynależność do LGD  „Zielony Wierzchołek Śląska)  (od co najmniej 1 roku od daty przyjęcia do LGD) – 1 pkt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</w:t>
            </w:r>
          </w:p>
          <w:p w14:paraId="177BB464" w14:textId="09E907A4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Obecność na ostatnich dwóch walnych zebraniach członków LGD „Zielony Wierzchołek Śląska)  licząc od daty złożenia wniosku – 1 pkt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</w:t>
            </w:r>
          </w:p>
          <w:p w14:paraId="220762B0" w14:textId="73DE4F64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Uczestnictwo co najmniej w jednym (organizowanym przez LGD „Zielony Wierzchołek Śląska) szkoleniu, spotkaniu, warsztatach w ciągu ostatnich 6 miesięcy wstecz od momentu rozpoczęcia danego naboru – 1 pkt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</w:t>
            </w:r>
          </w:p>
          <w:p w14:paraId="316D84E4" w14:textId="6CFD54F2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</w:t>
            </w:r>
            <w:r w:rsidRPr="006A3C59">
              <w:rPr>
                <w:rFonts w:ascii="Symbol" w:eastAsia="Symbol" w:hAnsi="Symbol" w:cs="Symbol"/>
                <w:color w:val="FF0000"/>
                <w:sz w:val="20"/>
                <w:szCs w:val="20"/>
                <w:lang w:eastAsia="zh-CN"/>
              </w:rPr>
              <w:t>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Podmiot korzystał z doradztwa w LGD „Zielony Wierzchołek Śląska” na etapie sporządzania wniosku o przyznanie pomocy w danym naborze  – 2 pkt.</w:t>
            </w:r>
          </w:p>
          <w:p w14:paraId="1AF02D8C" w14:textId="77777777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1061C817" w14:textId="0B100B4F" w:rsidR="00895E44" w:rsidRPr="008F1C68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się sumują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53B5A36" w14:textId="77777777" w:rsidR="00895E44" w:rsidRPr="006A3C59" w:rsidRDefault="00895E44" w:rsidP="009E153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Deklaracja członkowska</w:t>
            </w:r>
          </w:p>
          <w:p w14:paraId="0AA9B504" w14:textId="77777777" w:rsidR="00895E44" w:rsidRPr="006A3C59" w:rsidRDefault="00895E44" w:rsidP="009E153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Lista obecności na walnym zebraniu</w:t>
            </w:r>
          </w:p>
          <w:p w14:paraId="6C974C52" w14:textId="77777777" w:rsidR="00895E44" w:rsidRPr="006A3C59" w:rsidRDefault="00895E44" w:rsidP="009E153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Lista obecności na szkoleniu</w:t>
            </w:r>
          </w:p>
          <w:p w14:paraId="69D08257" w14:textId="0601E21E" w:rsidR="00895E44" w:rsidRPr="00C62408" w:rsidRDefault="00895E44" w:rsidP="009E153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Wpis w ewidencji prowadzonego doradztwa wraz z kartą doradztwa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0B47974" w14:textId="11C5664D" w:rsidR="00895E44" w:rsidRPr="006A3C59" w:rsidRDefault="00895E44" w:rsidP="009E153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45F4F">
              <w:rPr>
                <w:color w:val="FF0000"/>
              </w:rPr>
              <w:t xml:space="preserve">Wprowadzenie opisu źródła weryfikacji wskazuje beneficjentowi </w:t>
            </w:r>
            <w:r>
              <w:rPr>
                <w:color w:val="FF0000"/>
              </w:rPr>
              <w:t>dokumenty na podstawie, których Rada będzie oceniała to kryterium</w:t>
            </w:r>
          </w:p>
        </w:tc>
      </w:tr>
      <w:tr w:rsidR="00895E44" w:rsidRPr="00C62408" w14:paraId="5589FF9E" w14:textId="56A4583E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1D8E382E" w14:textId="77777777" w:rsidR="00895E44" w:rsidRPr="00733F19" w:rsidRDefault="00895E44" w:rsidP="009E1538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740DF6DA" w14:textId="36160B43" w:rsidR="00895E44" w:rsidRPr="003A4466" w:rsidRDefault="00895E44" w:rsidP="006A3C59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Czas realizacji operacji.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BDC1803" w14:textId="10AC1E60" w:rsidR="00895E44" w:rsidRPr="006A3C59" w:rsidRDefault="00895E44" w:rsidP="00C4793D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Preferuje się operacje, których czas realizacji od dnia podpisania umowy do złożenia wniosku o płatność nie przekracza:</w:t>
            </w:r>
          </w:p>
          <w:p w14:paraId="01F000E1" w14:textId="644C6223" w:rsidR="00895E44" w:rsidRPr="006A3C59" w:rsidRDefault="00895E44" w:rsidP="00C4793D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- 12 m-</w:t>
            </w:r>
            <w:proofErr w:type="spellStart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cy</w:t>
            </w:r>
            <w:proofErr w:type="spellEnd"/>
          </w:p>
          <w:p w14:paraId="615DCA28" w14:textId="2EF16DC4" w:rsidR="00895E44" w:rsidRPr="006A3C59" w:rsidRDefault="00895E44" w:rsidP="00C4793D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- 10 m-</w:t>
            </w:r>
            <w:proofErr w:type="spellStart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cy</w:t>
            </w:r>
            <w:proofErr w:type="spellEnd"/>
          </w:p>
          <w:p w14:paraId="3640BDBA" w14:textId="77777777" w:rsidR="00895E44" w:rsidRPr="006A3C59" w:rsidRDefault="00895E44" w:rsidP="00C4793D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i  których realizacja przyczyni się do szybkiej realizacji wskaźników w czasie.  </w:t>
            </w:r>
          </w:p>
          <w:p w14:paraId="56C40799" w14:textId="68688CC8" w:rsidR="00895E44" w:rsidRPr="006F5259" w:rsidRDefault="00895E44" w:rsidP="00C4793D">
            <w:pPr>
              <w:suppressAutoHyphens/>
              <w:spacing w:after="119" w:line="240" w:lineRule="auto"/>
              <w:rPr>
                <w:rFonts w:ascii="TimesNewRomanPSMT" w:eastAsia="TimesNewRomanPSMT" w:hAnsi="TimesNewRomanPSMT" w:cs="TimesNewRomanPSMT"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232DB180" w14:textId="510C74CC" w:rsidR="00895E44" w:rsidRPr="006A3C59" w:rsidRDefault="00895E44" w:rsidP="003A4466">
            <w:pPr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- 10 m-</w:t>
            </w:r>
            <w:proofErr w:type="spellStart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cy</w:t>
            </w:r>
            <w:proofErr w:type="spellEnd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– 2 pkt</w:t>
            </w:r>
          </w:p>
          <w:p w14:paraId="2DAC9FEA" w14:textId="4F26EDB6" w:rsidR="00895E44" w:rsidRPr="006A3C59" w:rsidRDefault="00895E44" w:rsidP="003A4466">
            <w:pPr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- 12 m-</w:t>
            </w:r>
            <w:proofErr w:type="spellStart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cy</w:t>
            </w:r>
            <w:proofErr w:type="spellEnd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– 1 pkt</w:t>
            </w:r>
          </w:p>
          <w:p w14:paraId="181C0F3D" w14:textId="77777777" w:rsidR="00895E44" w:rsidRPr="006A3C59" w:rsidRDefault="00895E44" w:rsidP="003A4466">
            <w:pPr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pow. 12 m-</w:t>
            </w:r>
            <w:proofErr w:type="spellStart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cy</w:t>
            </w:r>
            <w:proofErr w:type="spellEnd"/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– 0 pkt</w:t>
            </w:r>
            <w:r w:rsidRPr="006A3C59">
              <w:rPr>
                <w:rFonts w:ascii="TimesNewRomanPSMT" w:eastAsia="TimesNewRomanPSMT" w:hAnsi="TimesNewRomanPSMT" w:cs="TimesNewRomanPSMT"/>
                <w:strike/>
                <w:color w:val="FF0000"/>
                <w:sz w:val="20"/>
                <w:szCs w:val="20"/>
                <w:lang w:eastAsia="zh-CN"/>
              </w:rPr>
              <w:t xml:space="preserve"> </w:t>
            </w:r>
          </w:p>
          <w:p w14:paraId="04F9ADD3" w14:textId="77777777" w:rsidR="00895E44" w:rsidRPr="006A3C59" w:rsidRDefault="00895E44" w:rsidP="003A4466">
            <w:pPr>
              <w:suppressAutoHyphens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FF0000"/>
                <w:sz w:val="20"/>
                <w:szCs w:val="20"/>
                <w:lang w:eastAsia="zh-CN"/>
              </w:rPr>
            </w:pPr>
          </w:p>
          <w:p w14:paraId="5B332E74" w14:textId="07814326" w:rsidR="00895E44" w:rsidRPr="006A3C59" w:rsidRDefault="00895E44" w:rsidP="003A4466">
            <w:pPr>
              <w:suppressAutoHyphens/>
              <w:spacing w:after="0" w:line="240" w:lineRule="auto"/>
              <w:rPr>
                <w:rFonts w:ascii="Symbol" w:eastAsia="Symbol" w:hAnsi="Symbol" w:cs="Symbol"/>
                <w:strike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się.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0AECFE71" w14:textId="77777777" w:rsidR="00895E44" w:rsidRPr="006A3C59" w:rsidRDefault="00895E44" w:rsidP="003A4466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Informacje zawarte we wniosku o przyznanie pomocy,</w:t>
            </w:r>
          </w:p>
          <w:p w14:paraId="51DE226F" w14:textId="06F7A48C" w:rsidR="00895E44" w:rsidRPr="006A3C59" w:rsidRDefault="00895E44" w:rsidP="003A4466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Zobowiązanie beneficjenta</w:t>
            </w:r>
            <w:r w:rsidR="006230B5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 xml:space="preserve"> (o</w:t>
            </w:r>
            <w:r w:rsidR="00985ED3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świadczenie)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9DA1B29" w14:textId="031A1F1F" w:rsidR="00895E44" w:rsidRPr="006A3C59" w:rsidRDefault="00895E44" w:rsidP="003A4466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eastAsia="Symbol"/>
                <w:color w:val="FF0000"/>
                <w:sz w:val="20"/>
                <w:szCs w:val="20"/>
                <w:lang w:eastAsia="zh-CN"/>
              </w:rPr>
              <w:t>Kryterium te przyczyni się do szybszej realizacji zaplanowanego przez Beneficjenta zakresu projektu</w:t>
            </w:r>
          </w:p>
        </w:tc>
      </w:tr>
      <w:tr w:rsidR="00895E44" w:rsidRPr="00C62408" w14:paraId="6C3C8732" w14:textId="3F50EF87" w:rsidTr="00895E44">
        <w:trPr>
          <w:trHeight w:val="2870"/>
        </w:trPr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2A202452" w14:textId="77777777" w:rsidR="00895E44" w:rsidRPr="00733F19" w:rsidRDefault="00895E44" w:rsidP="009E1538">
            <w:pPr>
              <w:suppressAutoHyphens/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4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2E1E220D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Liczba nowych miejsc pracy utworzonych w wyniku realizacji projektu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1C191D95" w14:textId="0A90A1FE" w:rsidR="00895E44" w:rsidRDefault="00895E44" w:rsidP="009E1538">
            <w:pPr>
              <w:suppressAutoHyphens/>
              <w:spacing w:before="280" w:after="119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Preferuje projekty w zależności od liczby nowo utworzonych miejsc pracy (średnioroczne etaty) powyżej wymaganego minimum. </w:t>
            </w:r>
          </w:p>
          <w:p w14:paraId="69A33DFA" w14:textId="284169B7" w:rsidR="00895E44" w:rsidRPr="006A3C59" w:rsidRDefault="00895E44" w:rsidP="009E1538">
            <w:pPr>
              <w:suppressAutoHyphens/>
              <w:spacing w:before="280" w:after="119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Wymagane minimum dotyczy utworzenia 1 miejsca pracy (w tym samozatrudnienie).</w:t>
            </w:r>
          </w:p>
          <w:p w14:paraId="550D1268" w14:textId="77DE0956" w:rsidR="00895E44" w:rsidRPr="00733F19" w:rsidRDefault="00895E44" w:rsidP="009E1538">
            <w:pPr>
              <w:suppressAutoHyphens/>
              <w:spacing w:before="280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strike/>
                <w:color w:val="000000" w:themeColor="text1"/>
                <w:sz w:val="20"/>
                <w:szCs w:val="20"/>
                <w:lang w:eastAsia="zh-CN"/>
              </w:rPr>
              <w:t>Informacja o konieczności utrzymania miejsc pracy</w:t>
            </w: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187F6C5" w14:textId="77777777" w:rsidR="00895E44" w:rsidRPr="00816B20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deklaruje utworzenie więcej niż 2 miejsca pracy w przeliczeniu na pełne etaty średnioroczne powyżej wymaganego minimum – 3 pkt.</w:t>
            </w:r>
          </w:p>
          <w:p w14:paraId="0812DF5A" w14:textId="77777777" w:rsidR="00895E44" w:rsidRPr="00816B20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deklaruje utworzenie więcej niż</w:t>
            </w:r>
          </w:p>
          <w:p w14:paraId="570F35DE" w14:textId="77777777" w:rsidR="00895E44" w:rsidRPr="00816B20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1 miejsce pracy w przeliczeniu na pełne etaty średnioroczne, ale nie więcej niż 2 miejsca pracy powyżej wymaganego minimum – 2 pkt.</w:t>
            </w:r>
          </w:p>
          <w:p w14:paraId="7D926BFF" w14:textId="77777777" w:rsidR="00895E44" w:rsidRPr="00816B20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deklaruje utworzenie więcej niż 0,5 miejsca pracy w przeliczeniu na pełne etaty średnioroczne, ale nie więcej niż 1 miejsce pracy powyżej wymaganego minimum – 1 pkt.</w:t>
            </w:r>
          </w:p>
          <w:p w14:paraId="75461A7B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816B20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816B20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nie deklaruje utworzenia więcej niż 0,5 miejsca pracy w przeliczeniu na pełne etaty średnioroczne powyżej wymaganego minimum – 0 pkt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.</w:t>
            </w:r>
          </w:p>
          <w:p w14:paraId="1D72E2D6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</w:p>
          <w:p w14:paraId="5B74F2D9" w14:textId="77777777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Więcej niż jedno nowoutworzone miejsce pracy poza wymaganym minimum w przeliczeniu na etaty średnioroczne – 2 pkt</w:t>
            </w:r>
          </w:p>
          <w:p w14:paraId="5692B99A" w14:textId="06BAE0A3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utworzenie do  1 miejsca pracy poza wymaganym minimum w przeliczeniu na etaty średnioroczne – 1 pkt</w:t>
            </w:r>
          </w:p>
          <w:p w14:paraId="206A87EF" w14:textId="77777777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30955722" w14:textId="319C9544" w:rsidR="00895E44" w:rsidRPr="008F1C68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503C931" w14:textId="77777777" w:rsidR="00895E44" w:rsidRPr="006A3C59" w:rsidRDefault="00895E44" w:rsidP="007E0F2A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Informacje zawarte we wniosku o przyznanie pomocy,</w:t>
            </w:r>
          </w:p>
          <w:p w14:paraId="7A1B5645" w14:textId="2D4A46D3" w:rsidR="00895E44" w:rsidRPr="00C62408" w:rsidRDefault="00895E44" w:rsidP="007E0F2A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- Zobowiązanie beneficjenta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1F01DCCC" w14:textId="68AFD38B" w:rsidR="00895E44" w:rsidRPr="006A3C59" w:rsidRDefault="00895E44" w:rsidP="007E0F2A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 xml:space="preserve">Zmiana tego kryterium wychodzi naprzeciw warunkom panującym obecnie na rynku pracy. Zmniejsza się na korzyść beneficjenta liczbę osób zatrudnionych, niezbędnych do osiągnięcia maksymalnej ilości punktów za to kryterium. </w:t>
            </w:r>
          </w:p>
        </w:tc>
      </w:tr>
      <w:tr w:rsidR="00895E44" w:rsidRPr="00C62408" w14:paraId="6514F3F7" w14:textId="25802DEA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91B6CD1" w14:textId="77777777" w:rsidR="00895E44" w:rsidRPr="00733F19" w:rsidRDefault="00895E44" w:rsidP="009E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5C2A7E3E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Ochrona środowiska i przeciwdziałanie zmianom klimatu</w:t>
            </w:r>
          </w:p>
          <w:p w14:paraId="6539F513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79719944" w14:textId="77777777" w:rsidR="00895E44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Preferuje projekty stosujące rozwiązania przyczyniające się do ochrony środowiska i przeciwdziałaniu zmianom klimatu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.</w:t>
            </w:r>
          </w:p>
          <w:p w14:paraId="2C8F1715" w14:textId="1216AB18" w:rsidR="00895E44" w:rsidRPr="006A3C5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Za operację o pozytywnym wpływie na ochronę środowiska lub klimatu uznaje się operacje, które przeznaczą na ten cel  min. 10 % budżetu operacji  </w:t>
            </w:r>
          </w:p>
          <w:p w14:paraId="7B7BD0F6" w14:textId="5AA0A09A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580C5F42" w14:textId="77777777" w:rsidR="00895E44" w:rsidRPr="00324271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zastosował preferowane rozwiązania,</w:t>
            </w:r>
          </w:p>
          <w:p w14:paraId="6DAF4469" w14:textId="77777777" w:rsidR="00895E44" w:rsidRPr="00324271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na które zaplanował powyżej 10% budżetu operacji – 2 pkt</w:t>
            </w: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</w:t>
            </w:r>
          </w:p>
          <w:p w14:paraId="77E05D63" w14:textId="77777777" w:rsidR="00895E44" w:rsidRPr="00324271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zastosował preferowane rozwiązania,</w:t>
            </w:r>
          </w:p>
          <w:p w14:paraId="756B98DF" w14:textId="77777777" w:rsidR="00895E44" w:rsidRPr="00324271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na które zaplanował powyżej 5% do 10% budżetu operacji – 1 pkt</w:t>
            </w: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</w:t>
            </w:r>
          </w:p>
          <w:p w14:paraId="3BD4913B" w14:textId="77777777" w:rsidR="00895E44" w:rsidRPr="00324271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</w:t>
            </w:r>
            <w:r w:rsidRPr="00324271">
              <w:rPr>
                <w:rFonts w:ascii="Symbol" w:eastAsia="Symbol" w:hAnsi="Symbol" w:cs="Symbol"/>
                <w:strike/>
                <w:color w:val="000000"/>
                <w:sz w:val="20"/>
                <w:szCs w:val="20"/>
                <w:lang w:eastAsia="zh-CN"/>
              </w:rPr>
              <w:t></w:t>
            </w: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Wnioskodawca nie zastosował preferowanych rozwiązań</w:t>
            </w:r>
          </w:p>
          <w:p w14:paraId="64D465C3" w14:textId="77777777" w:rsidR="00895E44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</w:pPr>
            <w:r w:rsidRPr="00324271"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  <w:t>lub zaplanował na nie do 5% budżetu operacji - 0 pkt.</w:t>
            </w:r>
          </w:p>
          <w:p w14:paraId="4350E82B" w14:textId="77777777" w:rsidR="00895E44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</w:pPr>
          </w:p>
          <w:p w14:paraId="11E79CE7" w14:textId="5F3E2370" w:rsidR="00895E44" w:rsidRPr="006A3C59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Pozytywny wpływ na ochronę środowiska lub klimatu – 2 pkt</w:t>
            </w:r>
          </w:p>
          <w:p w14:paraId="49D2DE8C" w14:textId="54AB0B92" w:rsidR="00895E44" w:rsidRPr="006A3C59" w:rsidRDefault="00895E44" w:rsidP="00682F91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- Neutralny wpływ na ochronę środowiska lub klimatu –  1 pkt</w:t>
            </w:r>
          </w:p>
          <w:p w14:paraId="7D7B173E" w14:textId="0BA9904D" w:rsidR="00895E44" w:rsidRPr="00A32F61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lastRenderedPageBreak/>
              <w:t>-</w:t>
            </w:r>
            <w:r w:rsidRPr="00A32F61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Negatywny wpływ na ochronę środowiska lub klimatu</w:t>
            </w:r>
            <w:r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– 0 pkt. </w:t>
            </w:r>
          </w:p>
          <w:p w14:paraId="763790BE" w14:textId="77777777" w:rsidR="00895E44" w:rsidRPr="00A32F61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4CB8C687" w14:textId="77777777" w:rsidR="00895E44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</w:pPr>
          </w:p>
          <w:p w14:paraId="67A50C79" w14:textId="1AF7D512" w:rsidR="00895E44" w:rsidRPr="006A3C59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</w:t>
            </w:r>
          </w:p>
          <w:p w14:paraId="41DC5938" w14:textId="77777777" w:rsidR="00895E44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strike/>
                <w:color w:val="000000"/>
                <w:sz w:val="20"/>
                <w:szCs w:val="20"/>
                <w:lang w:eastAsia="zh-CN"/>
              </w:rPr>
            </w:pPr>
          </w:p>
          <w:p w14:paraId="3D579C53" w14:textId="77777777" w:rsidR="00895E44" w:rsidRPr="00733F19" w:rsidRDefault="00895E44" w:rsidP="009E1538">
            <w:pPr>
              <w:tabs>
                <w:tab w:val="left" w:pos="243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6D70CD4D" w14:textId="563C562A" w:rsidR="00895E44" w:rsidRPr="006A3C59" w:rsidRDefault="00895E44" w:rsidP="0038050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  <w:lastRenderedPageBreak/>
              <w:t xml:space="preserve">- </w:t>
            </w: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Informacje zawarte we wniosku o przyznanie pomocy oraz biznesplanie.</w:t>
            </w:r>
          </w:p>
          <w:p w14:paraId="63C26A23" w14:textId="003C2C40" w:rsidR="00895E44" w:rsidRDefault="00895E44" w:rsidP="0038050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 xml:space="preserve">W przypadku operacji o pozytywnym wpływie na ochronę środowiska lub klimatu – koszty wykazane w </w:t>
            </w: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>zestawieniu rzeczowo- finansowym</w:t>
            </w:r>
            <w:r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  <w:t>.</w:t>
            </w:r>
          </w:p>
          <w:p w14:paraId="222281CC" w14:textId="77777777" w:rsidR="00895E44" w:rsidRPr="00C62408" w:rsidRDefault="00895E44" w:rsidP="009E1538">
            <w:pPr>
              <w:tabs>
                <w:tab w:val="left" w:pos="243"/>
              </w:tabs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416E3F80" w14:textId="48C21A0B" w:rsidR="00895E44" w:rsidRDefault="00895E44" w:rsidP="00380508">
            <w:pPr>
              <w:suppressAutoHyphens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427B40">
              <w:rPr>
                <w:color w:val="FF0000"/>
                <w:sz w:val="20"/>
                <w:szCs w:val="20"/>
              </w:rPr>
              <w:lastRenderedPageBreak/>
              <w:t>Wprowadzenie opisu źródła weryfikacji wskazuje beneficjentowi konkretne miejsce we wniosku o przyznanie pomocy uzasadnienia tego kryterium</w:t>
            </w:r>
            <w:r>
              <w:rPr>
                <w:color w:val="FF0000"/>
                <w:sz w:val="20"/>
                <w:szCs w:val="20"/>
              </w:rPr>
              <w:t xml:space="preserve">. Nowe stopniowanie kryterium </w:t>
            </w:r>
            <w:r>
              <w:rPr>
                <w:color w:val="FF0000"/>
                <w:sz w:val="20"/>
                <w:szCs w:val="20"/>
              </w:rPr>
              <w:lastRenderedPageBreak/>
              <w:t xml:space="preserve">poszerza możliwość uzyskania punktów przez beneficjentów, </w:t>
            </w:r>
            <w:r w:rsidRPr="005D32D5">
              <w:rPr>
                <w:color w:val="FF0000"/>
                <w:sz w:val="20"/>
                <w:szCs w:val="20"/>
              </w:rPr>
              <w:t>któ</w:t>
            </w:r>
            <w:r w:rsidRPr="005D32D5">
              <w:rPr>
                <w:rFonts w:eastAsia="Symbol"/>
                <w:color w:val="FF0000"/>
                <w:sz w:val="20"/>
                <w:szCs w:val="20"/>
                <w:lang w:eastAsia="zh-CN"/>
              </w:rPr>
              <w:t>rych projekty nie przewidują w budżetach rozwiązań proekologicznych przekraczających 10 % budżetu.</w:t>
            </w:r>
          </w:p>
        </w:tc>
      </w:tr>
      <w:tr w:rsidR="00895E44" w:rsidRPr="00C62408" w14:paraId="48BBE2B5" w14:textId="3D86F501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FE0466F" w14:textId="77777777" w:rsidR="00895E44" w:rsidRPr="00733F19" w:rsidRDefault="00895E44" w:rsidP="009E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>6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09FB0C42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Intensywność wsparcia</w:t>
            </w: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7F12043C" w14:textId="38823BAC" w:rsidR="00895E44" w:rsidRPr="00733F19" w:rsidRDefault="00895E44" w:rsidP="006A3C59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Preferuje </w:t>
            </w:r>
            <w:r w:rsidRPr="00B65617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zh-CN"/>
              </w:rPr>
              <w:t xml:space="preserve">się </w:t>
            </w: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projekty, w których przewidziano mniejszą intensywność wsparcia niż przewidziana w </w:t>
            </w: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OGŁOSZENIU o naborze</w:t>
            </w: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1395DD7" w14:textId="0FC54299" w:rsidR="00895E44" w:rsidRPr="00733F1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wnioskuje o intensywność o 20% lub więcej, mniejszą niż maksymalna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– 2 pkt.</w:t>
            </w:r>
          </w:p>
          <w:p w14:paraId="40D1FE9C" w14:textId="77777777" w:rsidR="00895E44" w:rsidRPr="00733F1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wnioskuje o intensywność o od 10% do mniej niż 20% mniejszą niż maksymalna – 1 pkt.</w:t>
            </w:r>
          </w:p>
          <w:p w14:paraId="49A08A9D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wnioskuje o intensywność o mniej niż 10% mniejszą niż maksymalna – 0 pkt.</w:t>
            </w:r>
          </w:p>
          <w:p w14:paraId="2B0920BA" w14:textId="77777777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</w:pPr>
          </w:p>
          <w:p w14:paraId="53218A1A" w14:textId="183944CF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6E5BE468" w14:textId="730F39AB" w:rsidR="00895E44" w:rsidRPr="00C62408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Informacje zawarte we wniosku o dofinansowanie wraz z załącznikami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7D720997" w14:textId="11E6A824" w:rsidR="00895E44" w:rsidRPr="006A3C5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 xml:space="preserve">Zmiana precyzuje definicję kryterium. </w:t>
            </w:r>
          </w:p>
        </w:tc>
      </w:tr>
      <w:tr w:rsidR="00895E44" w:rsidRPr="00C62408" w14:paraId="63B297E5" w14:textId="1AE6EB15" w:rsidTr="00895E44">
        <w:tc>
          <w:tcPr>
            <w:tcW w:w="555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6AF51CBB" w14:textId="77777777" w:rsidR="00895E44" w:rsidRPr="00733F19" w:rsidRDefault="00895E44" w:rsidP="009E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572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585C301D" w14:textId="77777777" w:rsidR="00895E44" w:rsidRPr="00733F19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 xml:space="preserve">Przygotowanie zawodowe i doświadczenie wnioskodawcy </w:t>
            </w:r>
          </w:p>
          <w:p w14:paraId="63AE9DE0" w14:textId="77777777" w:rsidR="00895E44" w:rsidRPr="00733F19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- </w:t>
            </w:r>
            <w:r w:rsidRPr="006A3C59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zh-CN"/>
              </w:rPr>
              <w:t>nie dotyczy wniosków na przedsięwzięcie: Rozwijanie działalności gospodarczej</w:t>
            </w: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5387" w:type="dxa"/>
            <w:tcBorders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3CEB964F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Preferuje wnioskodawców, którzy posiadają kwalifikacje zawodowe i doświadczenie zawodowe z zakresu podejmowanej działalności gospodarczej</w:t>
            </w:r>
          </w:p>
          <w:p w14:paraId="34F218CF" w14:textId="77777777" w:rsidR="00895E44" w:rsidRPr="00733F19" w:rsidRDefault="00895E44" w:rsidP="009E1538">
            <w:pPr>
              <w:suppressAutoHyphens/>
              <w:autoSpaceDE w:val="0"/>
              <w:spacing w:after="119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</w:p>
          <w:p w14:paraId="46AE9B4F" w14:textId="77777777" w:rsidR="00895E44" w:rsidRPr="008F1C68" w:rsidRDefault="00895E44" w:rsidP="009E1538">
            <w:pPr>
              <w:suppressAutoHyphens/>
              <w:autoSpaceDE w:val="0"/>
              <w:spacing w:after="119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strike/>
                <w:sz w:val="20"/>
                <w:szCs w:val="20"/>
                <w:lang w:eastAsia="zh-CN"/>
              </w:rPr>
              <w:t>Punkty się sumują</w:t>
            </w:r>
          </w:p>
        </w:tc>
        <w:tc>
          <w:tcPr>
            <w:tcW w:w="504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338904EF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udokumentował posiadanie co najmniej 1 rocznego doświadczenia zawodowego z zakresu podejmowanej działalności gospodarczej – 3 pkt.</w:t>
            </w:r>
          </w:p>
          <w:p w14:paraId="2A8F197F" w14:textId="77777777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udokumentował posiadanie kwalifikacji zawodowych z zakresu podejmowanej działalności gospodarczej – 3 pkt.</w:t>
            </w:r>
          </w:p>
          <w:p w14:paraId="14F83206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Brak przygotowania i doświadczenia zawodowego z zakresu podejmowanej działalności gospodarczej – 0 pkt.</w:t>
            </w:r>
          </w:p>
          <w:p w14:paraId="7031785E" w14:textId="77777777" w:rsidR="00895E44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NewRomanPSMT" w:eastAsia="TimesNewRomanPSMT" w:hAnsi="TimesNewRomanPSMT" w:cs="TimesNewRomanPSMT"/>
                <w:color w:val="00B050"/>
                <w:sz w:val="20"/>
                <w:szCs w:val="20"/>
                <w:lang w:eastAsia="zh-CN"/>
              </w:rPr>
            </w:pPr>
          </w:p>
          <w:p w14:paraId="4ED1DA5A" w14:textId="789B12E9" w:rsidR="00895E44" w:rsidRPr="00733F1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się sumują</w:t>
            </w:r>
          </w:p>
        </w:tc>
        <w:tc>
          <w:tcPr>
            <w:tcW w:w="17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4BE4DD9A" w14:textId="228BC313" w:rsidR="00895E44" w:rsidRPr="00C62408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Dokumenty potwierdzające doświadczenie i/lub kwalifikacje (świadectwa, certyfikaty, zaświadczenia itp.)</w:t>
            </w:r>
          </w:p>
        </w:tc>
        <w:tc>
          <w:tcPr>
            <w:tcW w:w="175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27D5369C" w14:textId="4916B709" w:rsidR="00895E44" w:rsidRPr="006A3C59" w:rsidRDefault="00895E44" w:rsidP="009E1538">
            <w:pPr>
              <w:suppressAutoHyphens/>
              <w:autoSpaceDE w:val="0"/>
              <w:spacing w:after="0" w:line="240" w:lineRule="auto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Zmiana precyzuje definicję kryterium.</w:t>
            </w:r>
          </w:p>
        </w:tc>
      </w:tr>
      <w:tr w:rsidR="00895E44" w:rsidRPr="00C62408" w14:paraId="62918831" w14:textId="399CB811" w:rsidTr="00895E44">
        <w:tc>
          <w:tcPr>
            <w:tcW w:w="555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557A06EE" w14:textId="77777777" w:rsidR="00895E44" w:rsidRPr="00733F19" w:rsidRDefault="00895E44" w:rsidP="009E153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572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4568B107" w14:textId="3A062EAA" w:rsidR="00895E44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Grupy defaworyzowane</w:t>
            </w:r>
          </w:p>
          <w:p w14:paraId="1A390D59" w14:textId="22CC9DBB" w:rsidR="00895E44" w:rsidRPr="00733F19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5C5C27D7" w14:textId="77777777" w:rsidR="00895E44" w:rsidRPr="00733F19" w:rsidRDefault="00895E44" w:rsidP="009E153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538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14:paraId="56715C30" w14:textId="45C168A1" w:rsidR="00895E44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lastRenderedPageBreak/>
              <w:t xml:space="preserve">Preferuje wnioskodawców, którzy należą do grup defaworyzowanych określonych w LSR 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LGD „Zielony Wierzchołek Śląska</w:t>
            </w:r>
            <w:r>
              <w:rPr>
                <w:rFonts w:ascii="TimesNewRomanPSMT" w:eastAsia="TimesNewRomanPSMT" w:hAnsi="TimesNewRomanPSMT" w:cs="TimesNewRomanPSMT"/>
                <w:color w:val="00B050"/>
                <w:sz w:val="20"/>
                <w:szCs w:val="20"/>
                <w:lang w:eastAsia="zh-CN"/>
              </w:rPr>
              <w:t xml:space="preserve"> </w:t>
            </w:r>
            <w:r w:rsidRPr="00733F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  <w:t>lub zatrudniających takie osoby</w:t>
            </w:r>
          </w:p>
          <w:p w14:paraId="67992D6F" w14:textId="4EE8DE86" w:rsidR="00895E44" w:rsidRPr="006A3C59" w:rsidRDefault="00895E44" w:rsidP="00F53805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>Grupy defaworyzowane wg LSR</w:t>
            </w: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 xml:space="preserve"> LGD „Zielony Wierzchołek Śląska</w:t>
            </w:r>
            <w:r w:rsidRPr="006A3C59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zh-CN"/>
              </w:rPr>
              <w:t>: Osoby bezrobotne w wieku 18-34, Osoby niepełnosprawne, Osoby korzystające z pomocy społecznej.</w:t>
            </w:r>
          </w:p>
          <w:p w14:paraId="55EA8BA8" w14:textId="77777777" w:rsidR="00895E44" w:rsidRPr="00A32F61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zh-CN"/>
              </w:rPr>
            </w:pPr>
            <w:r w:rsidRPr="00A32F61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zh-CN"/>
              </w:rPr>
              <w:t>Punkty się sumują</w:t>
            </w:r>
          </w:p>
          <w:p w14:paraId="21FC8D4A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zh-CN"/>
              </w:rPr>
            </w:pPr>
          </w:p>
          <w:p w14:paraId="70C520E1" w14:textId="77777777" w:rsidR="00895E44" w:rsidRPr="00733F19" w:rsidRDefault="00895E44" w:rsidP="009E1538">
            <w:pPr>
              <w:suppressAutoHyphens/>
              <w:spacing w:after="119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zh-CN"/>
              </w:rPr>
            </w:pPr>
          </w:p>
        </w:tc>
        <w:tc>
          <w:tcPr>
            <w:tcW w:w="504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558B3F23" w14:textId="77777777" w:rsidR="00895E44" w:rsidRPr="00733F1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lastRenderedPageBreak/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Wnioskodawca deklaruje zatrudnienie więcej niż 1 osobę z grupy defaworyzowanej (za zatrudnienie uważa się 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lastRenderedPageBreak/>
              <w:t>również samozatrudnienie wnioskodawcy jeśli należ</w:t>
            </w:r>
            <w:r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 xml:space="preserve">y do grupy defaworyzowanej) </w:t>
            </w:r>
            <w:r w:rsidRPr="00A32F61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–  2 pkt.</w:t>
            </w:r>
          </w:p>
          <w:p w14:paraId="5A021507" w14:textId="77777777" w:rsidR="00895E44" w:rsidRPr="00733F1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Wnioskodawca deklaruje zatrudnienie 1 osoby z grupy defaworyzowanej (za zatrudnienie uważa się również samozatrudnienie wnioskodawcy jeśli należy do grupy defaworyzowanej) – 1 pkt.</w:t>
            </w:r>
          </w:p>
          <w:p w14:paraId="2ABE9780" w14:textId="77777777" w:rsidR="00895E44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</w:t>
            </w:r>
            <w:r w:rsidRPr="00733F19">
              <w:rPr>
                <w:rFonts w:ascii="Symbol" w:eastAsia="Symbol" w:hAnsi="Symbol" w:cs="Symbol"/>
                <w:color w:val="000000"/>
                <w:sz w:val="20"/>
                <w:szCs w:val="20"/>
                <w:lang w:eastAsia="zh-CN"/>
              </w:rPr>
              <w:t></w:t>
            </w:r>
            <w:r w:rsidRPr="00733F19">
              <w:rPr>
                <w:rFonts w:ascii="Times New Roman" w:eastAsia="Symbol" w:hAnsi="Times New Roman" w:cs="Times New Roman"/>
                <w:color w:val="000000"/>
                <w:sz w:val="20"/>
                <w:szCs w:val="20"/>
                <w:lang w:eastAsia="zh-CN"/>
              </w:rPr>
              <w:t>Wnioskodawca n</w:t>
            </w:r>
            <w:r w:rsidRPr="00733F19"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  <w:t>ie jest z grupy defaworyzowanej i nie deklaruje zatrudnienia takiej osoby – 0 pkt.</w:t>
            </w:r>
          </w:p>
          <w:p w14:paraId="209165E1" w14:textId="77777777" w:rsidR="00895E44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NewRomanPSMT" w:eastAsia="TimesNewRomanPSMT" w:hAnsi="TimesNewRomanPSMT" w:cs="TimesNewRomanPSMT"/>
                <w:color w:val="000000"/>
                <w:sz w:val="20"/>
                <w:szCs w:val="20"/>
                <w:lang w:eastAsia="zh-CN"/>
              </w:rPr>
            </w:pPr>
          </w:p>
          <w:p w14:paraId="1CED9C4A" w14:textId="04FE3CE3" w:rsidR="00895E44" w:rsidRPr="00733F1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3C59">
              <w:rPr>
                <w:rFonts w:ascii="TimesNewRomanPSMT" w:eastAsia="TimesNewRomanPSMT" w:hAnsi="TimesNewRomanPSMT" w:cs="TimesNewRomanPSMT"/>
                <w:color w:val="FF0000"/>
                <w:sz w:val="20"/>
                <w:szCs w:val="20"/>
                <w:lang w:eastAsia="zh-CN"/>
              </w:rPr>
              <w:t>Punkty nie sumują się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394FA950" w14:textId="77777777" w:rsidR="00895E44" w:rsidRPr="006A3C5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Symbol" w:hAnsi="Times New Roman" w:cs="Times New Roman"/>
                <w:b/>
                <w:color w:val="FF000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 xml:space="preserve">Oświadczenie o planowanym zatrudnieniu osób </w:t>
            </w: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 xml:space="preserve">z grup defaworyzowanych oraz uzasadnienie we wniosku o przyznanie pomocy w polu </w:t>
            </w:r>
            <w:r w:rsidRPr="006A3C59">
              <w:rPr>
                <w:rFonts w:ascii="Times New Roman" w:eastAsia="Symbol" w:hAnsi="Times New Roman" w:cs="Times New Roman"/>
                <w:b/>
                <w:color w:val="FF0000"/>
                <w:sz w:val="20"/>
                <w:szCs w:val="20"/>
                <w:lang w:eastAsia="zh-CN"/>
              </w:rPr>
              <w:t>Uzasadnienie zgodności z celami LSR i kryteriami wyboru operacji przez LGD.</w:t>
            </w:r>
          </w:p>
          <w:p w14:paraId="3D772C3C" w14:textId="61D05556" w:rsidR="00895E44" w:rsidRPr="00904C8E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Symbol" w:hAnsi="Times New Roman" w:cs="Times New Roman"/>
                <w:color w:val="00B050"/>
                <w:sz w:val="20"/>
                <w:szCs w:val="20"/>
                <w:lang w:eastAsia="zh-CN"/>
              </w:rPr>
            </w:pPr>
            <w:r w:rsidRPr="006A3C59"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t>W przypadku samozatrudnionego należącego do grupy defaworyzowanej – zaświadczenie z Urzędu Pracy lub Zaświadczenie z Ośrodka Pomocy Społecznej lub Zaświadczenie o niepełnosprawności)</w:t>
            </w:r>
          </w:p>
        </w:tc>
        <w:tc>
          <w:tcPr>
            <w:tcW w:w="175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</w:tcPr>
          <w:p w14:paraId="4C4E4342" w14:textId="68E0AA93" w:rsidR="00895E44" w:rsidRPr="006A3C59" w:rsidRDefault="00895E44" w:rsidP="009E1538">
            <w:pPr>
              <w:tabs>
                <w:tab w:val="left" w:pos="243"/>
              </w:tabs>
              <w:suppressAutoHyphens/>
              <w:spacing w:after="0" w:line="100" w:lineRule="atLeast"/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 xml:space="preserve">Zmiana kryterium odpowiada na zmiany na rynku </w:t>
            </w:r>
            <w:r>
              <w:rPr>
                <w:rFonts w:ascii="Times New Roman" w:eastAsia="Symbol" w:hAnsi="Times New Roman" w:cs="Times New Roman"/>
                <w:color w:val="FF0000"/>
                <w:sz w:val="20"/>
                <w:szCs w:val="20"/>
                <w:lang w:eastAsia="zh-CN"/>
              </w:rPr>
              <w:lastRenderedPageBreak/>
              <w:t xml:space="preserve">pracy oraz precyzuje definicję kryterium. </w:t>
            </w:r>
          </w:p>
        </w:tc>
      </w:tr>
    </w:tbl>
    <w:p w14:paraId="04229A51" w14:textId="77777777" w:rsidR="00733F19" w:rsidRPr="00733F19" w:rsidRDefault="00733F19" w:rsidP="00733F19">
      <w:pPr>
        <w:suppressAutoHyphens/>
        <w:spacing w:before="28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lastRenderedPageBreak/>
        <w:t>Aby projekt został wybrany do finansowania musi otrzymać minimum 40%  maksymalnej ilości sumy punktów dla danego rodzaju projektu (operacji).</w:t>
      </w:r>
    </w:p>
    <w:p w14:paraId="3E86D916" w14:textId="77777777" w:rsidR="00733F19" w:rsidRPr="00733F19" w:rsidRDefault="00733F19" w:rsidP="00733F1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 przypadku równej ilości punktów o pierwszeństwie decydują kolejno:</w:t>
      </w:r>
    </w:p>
    <w:p w14:paraId="5642FBA8" w14:textId="77777777" w:rsidR="00733F19" w:rsidRPr="00733F19" w:rsidRDefault="00733F19" w:rsidP="00733F1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14:paraId="62BD2DA0" w14:textId="77777777" w:rsidR="00733F19" w:rsidRPr="00733F19" w:rsidRDefault="00733F19" w:rsidP="00733F1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Miejsca pracy – kto tworzy ich więcej (gdzie dotyczy),</w:t>
      </w:r>
    </w:p>
    <w:p w14:paraId="0E8C4BEA" w14:textId="77777777" w:rsidR="00733F19" w:rsidRPr="00733F19" w:rsidRDefault="00733F19" w:rsidP="00733F1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Wkład własny wyrażony w %,</w:t>
      </w:r>
    </w:p>
    <w:p w14:paraId="3748FBFE" w14:textId="77777777" w:rsidR="00733F19" w:rsidRPr="00733F19" w:rsidRDefault="00733F19" w:rsidP="00733F19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Długość członkostwa w LGD (staż premiowany),</w:t>
      </w:r>
    </w:p>
    <w:p w14:paraId="17BD782B" w14:textId="5B3B68F3" w:rsidR="00733F19" w:rsidRPr="00985ED3" w:rsidRDefault="00733F19" w:rsidP="00985ED3">
      <w:pPr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33F19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Moment złożenia wniosku (im wcześniej tym wyższa pozycja na liście </w:t>
      </w:r>
      <w:r w:rsidR="00985ED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rankingowej)</w:t>
      </w:r>
      <w:bookmarkStart w:id="0" w:name="_GoBack"/>
      <w:bookmarkEnd w:id="0"/>
    </w:p>
    <w:sectPr w:rsidR="00733F19" w:rsidRPr="00985ED3">
      <w:pgSz w:w="16838" w:h="11906" w:orient="landscape"/>
      <w:pgMar w:top="1134" w:right="1417" w:bottom="1134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/>
        <w:color w:val="000000"/>
        <w:w w:val="80"/>
        <w:sz w:val="22"/>
        <w:szCs w:val="22"/>
        <w:lang w:eastAsia="ar-SA" w:bidi="ar-SA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ahoma"/>
        <w:color w:val="000000"/>
        <w:w w:val="80"/>
        <w:sz w:val="22"/>
        <w:szCs w:val="22"/>
        <w:lang w:eastAsia="ar-SA" w:bidi="ar-S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ahoma"/>
        <w:color w:val="000000"/>
        <w:w w:val="80"/>
        <w:sz w:val="22"/>
        <w:szCs w:val="22"/>
        <w:lang w:eastAsia="ar-SA" w:bidi="ar-S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459C40F2"/>
    <w:multiLevelType w:val="hybridMultilevel"/>
    <w:tmpl w:val="AF804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A6354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19"/>
    <w:rsid w:val="00002148"/>
    <w:rsid w:val="00034BC8"/>
    <w:rsid w:val="00077749"/>
    <w:rsid w:val="001B2ED1"/>
    <w:rsid w:val="001E61AA"/>
    <w:rsid w:val="00200113"/>
    <w:rsid w:val="002C4ECB"/>
    <w:rsid w:val="002D06D3"/>
    <w:rsid w:val="00324271"/>
    <w:rsid w:val="0037255A"/>
    <w:rsid w:val="00380508"/>
    <w:rsid w:val="003A4466"/>
    <w:rsid w:val="003C2FD4"/>
    <w:rsid w:val="003C3E20"/>
    <w:rsid w:val="00414D79"/>
    <w:rsid w:val="004A40F2"/>
    <w:rsid w:val="006224B8"/>
    <w:rsid w:val="006230B5"/>
    <w:rsid w:val="00674D22"/>
    <w:rsid w:val="00682F91"/>
    <w:rsid w:val="006A3C59"/>
    <w:rsid w:val="006F5259"/>
    <w:rsid w:val="00733F19"/>
    <w:rsid w:val="007B0572"/>
    <w:rsid w:val="007E0F2A"/>
    <w:rsid w:val="007E1EB0"/>
    <w:rsid w:val="00816B20"/>
    <w:rsid w:val="008250DD"/>
    <w:rsid w:val="00895E44"/>
    <w:rsid w:val="008F1C68"/>
    <w:rsid w:val="00904C8E"/>
    <w:rsid w:val="009608AD"/>
    <w:rsid w:val="00985ED3"/>
    <w:rsid w:val="009B1AD5"/>
    <w:rsid w:val="00A32F61"/>
    <w:rsid w:val="00A75121"/>
    <w:rsid w:val="00AB62AD"/>
    <w:rsid w:val="00AC27BA"/>
    <w:rsid w:val="00B17E4D"/>
    <w:rsid w:val="00B215DC"/>
    <w:rsid w:val="00B22907"/>
    <w:rsid w:val="00B60C8B"/>
    <w:rsid w:val="00B65617"/>
    <w:rsid w:val="00B7714C"/>
    <w:rsid w:val="00C048C8"/>
    <w:rsid w:val="00C10526"/>
    <w:rsid w:val="00C4793D"/>
    <w:rsid w:val="00C62408"/>
    <w:rsid w:val="00D748D1"/>
    <w:rsid w:val="00E05494"/>
    <w:rsid w:val="00EF637A"/>
    <w:rsid w:val="00F11B9C"/>
    <w:rsid w:val="00F518B5"/>
    <w:rsid w:val="00F53805"/>
    <w:rsid w:val="00F632FA"/>
    <w:rsid w:val="00FD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40E4"/>
  <w15:chartTrackingRefBased/>
  <w15:docId w15:val="{3ED2C5D1-353B-4B78-B859-3AC49A68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733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3F1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3F1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3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3F1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4B8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4B8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2D0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4E65C-FCF6-470C-89D0-607AA2E1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1389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Świerczyński</dc:creator>
  <cp:keywords/>
  <dc:description/>
  <cp:lastModifiedBy>48664366324</cp:lastModifiedBy>
  <cp:revision>4</cp:revision>
  <cp:lastPrinted>2021-11-08T11:06:00Z</cp:lastPrinted>
  <dcterms:created xsi:type="dcterms:W3CDTF">2021-11-29T11:18:00Z</dcterms:created>
  <dcterms:modified xsi:type="dcterms:W3CDTF">2021-11-29T12:29:00Z</dcterms:modified>
</cp:coreProperties>
</file>